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2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Прање новца из члана 231. став 2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извршило конверзију или пренос имовине, са знањем да та имовина потиче од кривичног дела, у намери да се прикрије или лажно прикаже незаконито порекло имовине, или прикрије или лажно прикаже чињенице о имовини са знањем да та имовина потиче од кривичног дела, или стекне, држи или користи имовину са знањем, у тренутку пријема, да та имовина потиче од кривичног дела </w:t>
      </w:r>
      <w:r w:rsidDel="00000000" w:rsidR="00000000" w:rsidRPr="00000000">
        <w:rPr>
          <w:rtl w:val="0"/>
        </w:rPr>
        <w:t xml:space="preserve">с тим да износ новца или имовине прелази</w:t>
      </w:r>
      <w:r w:rsidDel="00000000" w:rsidR="00000000" w:rsidRPr="00000000">
        <w:rPr>
          <w:rtl w:val="0"/>
        </w:rPr>
        <w:t xml:space="preserve"> 1.500.000 динара.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Прање новца из члана 231. став 2,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употребом рачунара изврши пренос имовине, са знањем да та имовина потиче од кривичног дела, а у намери да се прикрије незаконито порекло имовине с тим да износ имовине прелази милион и петсто хиљада динара)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Прање новца из члана 231. став 2,  Кривичног законика.</w:t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