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И СУД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ОДЕЉЕЊЕ ЗА БОРБУ ПРОТИВ ВИСОКОТЕХНОЛОШКОГ КРИМИНА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17-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Неовлашћено коришћење рачунара или рачунарске мреже из члана 304. став ____(унети)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ватну туж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неовлашћено користило рачунарске услуге или рачунарску мрежу у намери да себи или другом прибави противправну имовинску корист и то на следећи начин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Неовлашћено коришћење рачунара или рачунарске мреже из члана 304, став____(унети)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Виши суд у Београду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користио рачунарску услугу да себи прибави против правну имовинску корист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Неовлашћено коришћење рачунара или рачунарске мреже из члана 304, став____(унети) 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