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 основу члана 280 и члана 281 Законика о кривичном поступку, а у вези са чланом 3 став 1 тачка 2 Закона о организацији и надлежности државних органа за борбу против високотехнолошког криминала;</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Неовлашћена употреба туђег пословног имена и друге посебне ознаке или услуга из члана 233. став 3,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а у намери да обмане купце или кориснике услуга послужи туђим пословним именом, туђом географском ознаком порекла, туђим жигом или туђом другом посебном ознаком робе или услуга или унесе поједина обележја ових ознака у своје пословне име, своју географску ознаку порекла, свој жиг или у своју другу посебну ознаку робе или услуга и тиме прибави имовинску корист која прелази износ од милион и петсто хиљада динара.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Неовлашћена употреба туђег пословног имена и друге посебне ознаке или услуга из члана 233. став 3,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а у намери да обмане купце послужио туђим пословним именом и прибавио имовинску корист која прелази милион и петсто хиљада динара)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Неовлашћена употреба туђег пословног имена и друге посебне ознаке или услуга из члана 233. став 3,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