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Неовлашћено објаљивање и приказивање туђег списа, портрета и снима из члана 145,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објавило или приказало спис, портрет, фотографију, филм или фонограм личног карактера без пристанка лица које је спис сатавило или на кога се спис односи. односно без пристанка лица које је приказано на портрету, фотографији или филму или чији је глас снимљен на фонограму или без пристанка другог лица чији се пристанак по закону тражи и тиме осетно задрло у лични живот тог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b w:val="1"/>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Неовлашћено објаљивање и приказивање туђег списа, портрета и снима из члана 145,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објави фотографија личног карактера без пристанка лица које је приказано на фотографији и тиме осетно задре у лични живот тог лица)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Неовлашћено објаљивање и приказивање туђег списа, портрета и снима из члана 145,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before="220" w:lineRule="auto"/>
        <w:contextualSpacing w:val="0"/>
        <w:jc w:val="center"/>
        <w:rPr>
          <w:color w:val="333333"/>
          <w:sz w:val="21"/>
          <w:szCs w:val="21"/>
          <w:highlight w:val="white"/>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