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И СУД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ОДЕЉЕЊЕ ЗА БОРБУ ПРОТИВ ВИСОКОТЕХНОЛОШКОГ КРИМИНА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17-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Неовлашћено коришћење рачунара или рачунарске мреже из члана 304. став ____(унети)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ватну тужб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неовлашћено користило рачунарске услуге или рачунарску мрежу у намери да себи или другом прибави противправну имовинску корист и то на следећи начин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Неовлашћено коришћење рачунара или рачунарске мреже из члана 304, став____(унети)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Виши суд у Београду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користио рачунарску услугу да себи прибави против правну имовинску корист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Неовлашћено коришћење рачунара или рачунарске мреже из члана 304, став____(унети) 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