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ВИШИ СУД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ОДЕЉЕЊЕ ЗА БОРБУ ПРОТИВ ВИСОКОТЕХНОЛОШКОГ КРИМИНАЛА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бр.17-а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Нарушавање пословног угледа и кредитне способности из члана 239,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употребом рачунара или рачунарског програма, у намери нарушавања пословног угледа или кредитне способности другог, износи о њему неистините податке или неистинито приказује његово пословање и тиме нанесе материјалну штету која прелази износ од милион динара.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Нарушавање пословног угледа и кредитне способности из члана 239, 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употребом рачунара а у намери нарушавања пословног угледа, изнесе неистинит податак и тиме му начини штету које прелази милион динара)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Нарушавање пословног угледа и кредитне способности из члана 239,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