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b w:val="1"/>
          <w:rtl w:val="0"/>
        </w:rPr>
        <w:t xml:space="preserve">На основу члана 280 и члана 281 Законика о кривичном поступку, а у вези са чланом 3 став 1 тачка 1 Закона о организацији и надлежности државних органа за борбу против високотехнолошког криминала;</w:t>
      </w:r>
      <w:r w:rsidDel="00000000" w:rsidR="00000000" w:rsidRPr="00000000">
        <w:rPr>
          <w:rtl w:val="0"/>
        </w:rPr>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Фалсификовање исправе из члана 355,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употребом рачунара или рачунарског програма, направило лажну или преиначило праву исправу у намери да се таква исправа употреби као права или лажна или преиначену исправу употребило као праву или је набавило ради употребе с тим да је настала материјална штету која прелази износ од милион динара.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60" w:lineRule="auto"/>
        <w:contextualSpacing w:val="0"/>
        <w:jc w:val="both"/>
        <w:rPr>
          <w:color w:val="333333"/>
          <w:sz w:val="19"/>
          <w:szCs w:val="19"/>
          <w:highlight w:val="white"/>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Фалсификовање исправе из члана 355,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употребом рачунара направи лажна исправа у намери да се таква исправа употреби као права и тиме настала штета прелази милион динара)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Фалсификовање исправе из члана 355,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