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2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Фалсификовање и злоупотреба платних картица из члана 225. став 3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употребом рачунара или рачунарског програма, направило лажну платну картицу или преиначило праву платну картицу, а у намери да је употреби као праву или такву лажну употреби као праву</w:t>
      </w:r>
      <w:r w:rsidDel="00000000" w:rsidR="00000000" w:rsidRPr="00000000">
        <w:rPr>
          <w:rtl w:val="0"/>
        </w:rPr>
        <w:t xml:space="preserve"> и на тај начин прибавио имовинску корист у износу преко 1.500.000 динара.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Фалсификовање и злоупотреба платних картица из члана 225. став 3,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да се употребом рачунара направи лажна платна картица и употреби као права и тиме прибави противправна имовинска корист чији износ прелази милион и петсто хиљада динара)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Фалсификовање и злоупотреба платних картица из члана 225. став 3, 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